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770" w:rsidRDefault="00FE5770" w:rsidP="00FE5770">
      <w:pPr>
        <w:pStyle w:val="2"/>
        <w:spacing w:line="360" w:lineRule="atLeast"/>
        <w:rPr>
          <w:rFonts w:hint="eastAsia"/>
        </w:rPr>
      </w:pPr>
      <w:r>
        <w:rPr>
          <w:rFonts w:hint="eastAsia"/>
        </w:rPr>
        <w:t>气相色谱质谱联用仪</w:t>
      </w:r>
    </w:p>
    <w:p w:rsidR="00FE5770" w:rsidRDefault="00FE5770" w:rsidP="00FE5770">
      <w:pPr>
        <w:pStyle w:val="a4"/>
        <w:jc w:val="center"/>
        <w:rPr>
          <w:rFonts w:ascii="Arial" w:hAnsi="Arial" w:cs="Arial" w:hint="eastAsia"/>
          <w:b/>
          <w:color w:val="008000"/>
          <w:szCs w:val="21"/>
        </w:rPr>
      </w:pPr>
      <w:r w:rsidRPr="00FA4DB0">
        <w:rPr>
          <w:rFonts w:ascii="Arial" w:hAnsi="Arial" w:cs="Arial" w:hint="eastAsia"/>
          <w:b/>
          <w:color w:val="008000"/>
          <w:szCs w:val="21"/>
        </w:rPr>
        <w:t>G</w:t>
      </w:r>
      <w:r w:rsidRPr="00FA4DB0">
        <w:rPr>
          <w:rFonts w:ascii="Arial" w:hAnsi="Arial" w:cs="Arial"/>
          <w:b/>
          <w:color w:val="008000"/>
          <w:szCs w:val="21"/>
        </w:rPr>
        <w:t>as chromatograph-mass spectrometer (GC-MS)</w:t>
      </w:r>
    </w:p>
    <w:p w:rsidR="00FE5770" w:rsidRPr="00FA4DB0" w:rsidRDefault="00FE5770" w:rsidP="00FE5770">
      <w:pPr>
        <w:pStyle w:val="a4"/>
        <w:jc w:val="center"/>
        <w:rPr>
          <w:rFonts w:ascii="隶书" w:eastAsia="隶书" w:hAnsi="Arial" w:cs="Arial" w:hint="eastAsia"/>
          <w:b/>
          <w:color w:val="008000"/>
        </w:rPr>
      </w:pPr>
      <w:r w:rsidRPr="00FE5770">
        <w:rPr>
          <w:rFonts w:ascii="Arial" w:hAnsi="Arial" w:cs="Arial"/>
          <w:b/>
          <w:color w:val="008000"/>
          <w:szCs w:val="21"/>
        </w:rPr>
        <w:drawing>
          <wp:inline distT="0" distB="0" distL="0" distR="0">
            <wp:extent cx="2990850" cy="2876550"/>
            <wp:effectExtent l="19050" t="0" r="0" b="0"/>
            <wp:docPr id="2" name="图片 1" descr="GC-MS-QP 2010 SE气相色谱质谱联用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C-MS-QP 2010 SE气相色谱质谱联用仪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770" w:rsidRPr="00A57566" w:rsidRDefault="00FE5770" w:rsidP="00FE5770">
      <w:pPr>
        <w:spacing w:line="360" w:lineRule="auto"/>
        <w:rPr>
          <w:rFonts w:ascii="宋体" w:hAnsi="宋体" w:hint="eastAsia"/>
          <w:szCs w:val="21"/>
        </w:rPr>
      </w:pPr>
    </w:p>
    <w:tbl>
      <w:tblPr>
        <w:tblStyle w:val="a3"/>
        <w:tblW w:w="0" w:type="auto"/>
        <w:tblLook w:val="01E0"/>
      </w:tblPr>
      <w:tblGrid>
        <w:gridCol w:w="1368"/>
        <w:gridCol w:w="7154"/>
      </w:tblGrid>
      <w:tr w:rsidR="00FE5770" w:rsidRPr="00A57566" w:rsidTr="007C1B8C">
        <w:trPr>
          <w:trHeight w:val="445"/>
        </w:trPr>
        <w:tc>
          <w:tcPr>
            <w:tcW w:w="1368" w:type="dxa"/>
          </w:tcPr>
          <w:p w:rsidR="00FE5770" w:rsidRPr="00A57566" w:rsidRDefault="00FE5770" w:rsidP="007C1B8C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A57566">
              <w:rPr>
                <w:rFonts w:ascii="宋体" w:hAnsi="宋体" w:hint="eastAsia"/>
                <w:szCs w:val="21"/>
              </w:rPr>
              <w:t>型号</w:t>
            </w:r>
          </w:p>
        </w:tc>
        <w:tc>
          <w:tcPr>
            <w:tcW w:w="7154" w:type="dxa"/>
          </w:tcPr>
          <w:p w:rsidR="00FE5770" w:rsidRPr="00A57566" w:rsidRDefault="00FE5770" w:rsidP="007C1B8C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A57566">
              <w:rPr>
                <w:rFonts w:ascii="宋体" w:hAnsi="宋体" w:hint="eastAsia"/>
                <w:szCs w:val="21"/>
              </w:rPr>
              <w:t>GCMS-QP2010</w:t>
            </w:r>
          </w:p>
        </w:tc>
      </w:tr>
      <w:tr w:rsidR="00FE5770" w:rsidRPr="00A57566" w:rsidTr="007C1B8C">
        <w:trPr>
          <w:trHeight w:val="465"/>
        </w:trPr>
        <w:tc>
          <w:tcPr>
            <w:tcW w:w="1368" w:type="dxa"/>
          </w:tcPr>
          <w:p w:rsidR="00FE5770" w:rsidRPr="00A57566" w:rsidRDefault="00FE5770" w:rsidP="007C1B8C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A57566">
              <w:rPr>
                <w:rFonts w:ascii="宋体" w:hAnsi="宋体" w:hint="eastAsia"/>
                <w:szCs w:val="21"/>
              </w:rPr>
              <w:t>厂商</w:t>
            </w:r>
          </w:p>
        </w:tc>
        <w:tc>
          <w:tcPr>
            <w:tcW w:w="7154" w:type="dxa"/>
          </w:tcPr>
          <w:p w:rsidR="00FE5770" w:rsidRPr="00A57566" w:rsidRDefault="00FE5770" w:rsidP="007C1B8C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A57566">
              <w:rPr>
                <w:rFonts w:ascii="宋体" w:hAnsi="宋体" w:hint="eastAsia"/>
                <w:szCs w:val="21"/>
              </w:rPr>
              <w:t>日本岛津公司</w:t>
            </w:r>
          </w:p>
        </w:tc>
      </w:tr>
      <w:tr w:rsidR="00FE5770" w:rsidRPr="00A57566" w:rsidTr="007C1B8C">
        <w:trPr>
          <w:trHeight w:val="443"/>
        </w:trPr>
        <w:tc>
          <w:tcPr>
            <w:tcW w:w="1368" w:type="dxa"/>
          </w:tcPr>
          <w:p w:rsidR="00FE5770" w:rsidRPr="00A57566" w:rsidRDefault="00FE5770" w:rsidP="007C1B8C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A57566">
              <w:rPr>
                <w:rFonts w:ascii="宋体" w:hAnsi="宋体" w:hint="eastAsia"/>
                <w:szCs w:val="21"/>
              </w:rPr>
              <w:t>放置地点</w:t>
            </w:r>
          </w:p>
        </w:tc>
        <w:tc>
          <w:tcPr>
            <w:tcW w:w="7154" w:type="dxa"/>
          </w:tcPr>
          <w:p w:rsidR="00FE5770" w:rsidRPr="00A57566" w:rsidRDefault="00FE5770" w:rsidP="007C1B8C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A57566">
              <w:rPr>
                <w:rFonts w:ascii="宋体" w:hAnsi="宋体" w:hint="eastAsia"/>
                <w:szCs w:val="21"/>
              </w:rPr>
              <w:t>浙江大学紫金港校区化学实验中心224</w:t>
            </w:r>
          </w:p>
        </w:tc>
      </w:tr>
      <w:tr w:rsidR="00FE5770" w:rsidRPr="00A57566" w:rsidTr="007C1B8C">
        <w:trPr>
          <w:trHeight w:val="462"/>
        </w:trPr>
        <w:tc>
          <w:tcPr>
            <w:tcW w:w="1368" w:type="dxa"/>
          </w:tcPr>
          <w:p w:rsidR="00FE5770" w:rsidRPr="00A57566" w:rsidRDefault="00FE5770" w:rsidP="007C1B8C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A57566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7154" w:type="dxa"/>
          </w:tcPr>
          <w:p w:rsidR="00FE5770" w:rsidRPr="00A57566" w:rsidRDefault="00FE5770" w:rsidP="007C1B8C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A57566">
              <w:rPr>
                <w:rFonts w:ascii="宋体" w:hAnsi="宋体" w:hint="eastAsia"/>
                <w:szCs w:val="21"/>
              </w:rPr>
              <w:t>0571-88206290-8225</w:t>
            </w:r>
          </w:p>
        </w:tc>
      </w:tr>
      <w:tr w:rsidR="00FE5770" w:rsidRPr="00A57566" w:rsidTr="007C1B8C">
        <w:trPr>
          <w:trHeight w:val="454"/>
        </w:trPr>
        <w:tc>
          <w:tcPr>
            <w:tcW w:w="1368" w:type="dxa"/>
          </w:tcPr>
          <w:p w:rsidR="00FE5770" w:rsidRDefault="00FE5770" w:rsidP="007C1B8C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  <w:p w:rsidR="00FE5770" w:rsidRDefault="00FE5770" w:rsidP="007C1B8C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  <w:p w:rsidR="00FE5770" w:rsidRPr="00A57566" w:rsidRDefault="00FE5770" w:rsidP="007C1B8C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A57566">
              <w:rPr>
                <w:rFonts w:ascii="宋体" w:hAnsi="宋体" w:hint="eastAsia"/>
                <w:szCs w:val="21"/>
              </w:rPr>
              <w:t>性能特点</w:t>
            </w:r>
          </w:p>
        </w:tc>
        <w:tc>
          <w:tcPr>
            <w:tcW w:w="7154" w:type="dxa"/>
          </w:tcPr>
          <w:p w:rsidR="00FE5770" w:rsidRPr="00D54A80" w:rsidRDefault="00FE5770" w:rsidP="007C1B8C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D54A80">
              <w:rPr>
                <w:rFonts w:ascii="宋体" w:hAnsi="宋体" w:hint="eastAsia"/>
                <w:b/>
                <w:szCs w:val="21"/>
              </w:rPr>
              <w:t>1).</w:t>
            </w:r>
            <w:r w:rsidRPr="00D54A80">
              <w:rPr>
                <w:rFonts w:ascii="宋体" w:hAnsi="宋体"/>
                <w:szCs w:val="21"/>
              </w:rPr>
              <w:t>快速加热和冷却</w:t>
            </w:r>
            <w:proofErr w:type="gramStart"/>
            <w:r w:rsidRPr="00D54A80">
              <w:rPr>
                <w:rFonts w:ascii="宋体" w:hAnsi="宋体"/>
                <w:szCs w:val="21"/>
              </w:rPr>
              <w:t>的柱温箱</w:t>
            </w:r>
            <w:proofErr w:type="gramEnd"/>
            <w:r w:rsidRPr="00D54A80">
              <w:rPr>
                <w:rFonts w:ascii="宋体" w:hAnsi="宋体" w:hint="eastAsia"/>
                <w:szCs w:val="21"/>
              </w:rPr>
              <w:t xml:space="preserve">, </w:t>
            </w:r>
            <w:proofErr w:type="gramStart"/>
            <w:r w:rsidRPr="00D54A80">
              <w:rPr>
                <w:rFonts w:ascii="宋体" w:hAnsi="宋体"/>
                <w:szCs w:val="21"/>
              </w:rPr>
              <w:t>柱箱温度</w:t>
            </w:r>
            <w:proofErr w:type="gramEnd"/>
            <w:r w:rsidRPr="00D54A80">
              <w:rPr>
                <w:rFonts w:ascii="宋体" w:hAnsi="宋体"/>
                <w:szCs w:val="21"/>
              </w:rPr>
              <w:t>：室温</w:t>
            </w:r>
            <w:r w:rsidRPr="00D54A80">
              <w:rPr>
                <w:rFonts w:ascii="宋体" w:hAnsi="宋体" w:hint="eastAsia"/>
                <w:szCs w:val="21"/>
              </w:rPr>
              <w:t>以上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℃"/>
              </w:smartTagPr>
              <w:r w:rsidRPr="00D54A80">
                <w:rPr>
                  <w:rFonts w:ascii="宋体" w:hAnsi="宋体"/>
                  <w:szCs w:val="21"/>
                </w:rPr>
                <w:t>4℃</w:t>
              </w:r>
            </w:smartTag>
            <w:r w:rsidRPr="00D54A80">
              <w:rPr>
                <w:rFonts w:ascii="宋体" w:hAnsi="宋体"/>
                <w:szCs w:val="21"/>
              </w:rPr>
              <w:t>～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50"/>
                <w:attr w:name="UnitName" w:val="℃"/>
              </w:smartTagPr>
              <w:r w:rsidRPr="00D54A80">
                <w:rPr>
                  <w:rFonts w:ascii="宋体" w:hAnsi="宋体"/>
                  <w:szCs w:val="21"/>
                </w:rPr>
                <w:t>450℃</w:t>
              </w:r>
            </w:smartTag>
            <w:r w:rsidRPr="00D54A80">
              <w:rPr>
                <w:rFonts w:ascii="宋体" w:hAnsi="宋体" w:hint="eastAsia"/>
                <w:szCs w:val="21"/>
              </w:rPr>
              <w:t>；</w:t>
            </w:r>
            <w:r w:rsidRPr="00D54A80">
              <w:rPr>
                <w:rFonts w:ascii="宋体" w:hAnsi="宋体" w:hint="eastAsia"/>
                <w:b/>
                <w:szCs w:val="21"/>
              </w:rPr>
              <w:t>2).</w:t>
            </w:r>
            <w:r w:rsidRPr="00D54A80">
              <w:rPr>
                <w:rFonts w:ascii="宋体" w:hAnsi="宋体" w:hint="eastAsia"/>
                <w:szCs w:val="21"/>
              </w:rPr>
              <w:t xml:space="preserve">  </w:t>
            </w:r>
            <w:r w:rsidRPr="00D54A80">
              <w:rPr>
                <w:rFonts w:ascii="宋体" w:hAnsi="宋体"/>
                <w:szCs w:val="21"/>
              </w:rPr>
              <w:t>分流/不分流进样</w:t>
            </w:r>
            <w:r w:rsidRPr="00D54A80">
              <w:rPr>
                <w:rFonts w:ascii="宋体" w:hAnsi="宋体" w:hint="eastAsia"/>
                <w:szCs w:val="21"/>
              </w:rPr>
              <w:t>口,最高温度：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50"/>
                <w:attr w:name="UnitName" w:val="℃"/>
              </w:smartTagPr>
              <w:r w:rsidRPr="00D54A80">
                <w:rPr>
                  <w:rFonts w:ascii="宋体" w:hAnsi="宋体"/>
                  <w:szCs w:val="21"/>
                </w:rPr>
                <w:t>4</w:t>
              </w:r>
              <w:r w:rsidRPr="00D54A80">
                <w:rPr>
                  <w:rFonts w:ascii="宋体" w:hAnsi="宋体" w:hint="eastAsia"/>
                  <w:szCs w:val="21"/>
                </w:rPr>
                <w:t>5</w:t>
              </w:r>
              <w:r w:rsidRPr="00D54A80">
                <w:rPr>
                  <w:rFonts w:ascii="宋体" w:hAnsi="宋体"/>
                  <w:szCs w:val="21"/>
                </w:rPr>
                <w:t>0℃</w:t>
              </w:r>
            </w:smartTag>
            <w:r w:rsidRPr="00D54A80">
              <w:rPr>
                <w:rFonts w:ascii="宋体" w:hAnsi="宋体" w:hint="eastAsia"/>
                <w:szCs w:val="21"/>
              </w:rPr>
              <w:t>；</w:t>
            </w:r>
            <w:r w:rsidRPr="00D54A80">
              <w:rPr>
                <w:rFonts w:ascii="宋体" w:hAnsi="宋体" w:hint="eastAsia"/>
                <w:b/>
                <w:szCs w:val="21"/>
              </w:rPr>
              <w:t>3).</w:t>
            </w:r>
            <w:r w:rsidRPr="00D54A80">
              <w:rPr>
                <w:rFonts w:ascii="宋体" w:hAnsi="宋体" w:hint="eastAsia"/>
                <w:szCs w:val="21"/>
              </w:rPr>
              <w:t>质谱分析</w:t>
            </w:r>
            <w:r w:rsidRPr="00D54A80">
              <w:rPr>
                <w:rFonts w:ascii="宋体" w:hAnsi="宋体"/>
                <w:szCs w:val="21"/>
              </w:rPr>
              <w:t>质量数范围:</w:t>
            </w:r>
            <w:r w:rsidRPr="00D54A80">
              <w:rPr>
                <w:rFonts w:ascii="宋体" w:hAnsi="宋体"/>
                <w:bCs/>
                <w:szCs w:val="21"/>
              </w:rPr>
              <w:t xml:space="preserve"> </w:t>
            </w:r>
            <w:r w:rsidRPr="00D54A80">
              <w:rPr>
                <w:rFonts w:ascii="宋体" w:hAnsi="宋体" w:hint="eastAsia"/>
                <w:bCs/>
                <w:szCs w:val="21"/>
              </w:rPr>
              <w:t>1.5</w:t>
            </w:r>
            <w:r w:rsidRPr="00D54A80">
              <w:rPr>
                <w:rFonts w:ascii="宋体" w:hAnsi="宋体" w:hint="eastAsia"/>
                <w:szCs w:val="21"/>
              </w:rPr>
              <w:t xml:space="preserve">～ </w:t>
            </w:r>
            <w:r w:rsidRPr="00D54A80">
              <w:rPr>
                <w:rFonts w:ascii="宋体" w:hAnsi="宋体" w:hint="eastAsia"/>
                <w:bCs/>
                <w:szCs w:val="21"/>
              </w:rPr>
              <w:t>1000u；</w:t>
            </w:r>
            <w:r w:rsidRPr="00D54A80">
              <w:rPr>
                <w:rFonts w:ascii="宋体" w:hAnsi="宋体" w:hint="eastAsia"/>
                <w:b/>
                <w:bCs/>
                <w:szCs w:val="21"/>
              </w:rPr>
              <w:t>4).</w:t>
            </w:r>
            <w:r w:rsidRPr="00D54A80">
              <w:rPr>
                <w:rFonts w:ascii="宋体" w:hAnsi="宋体" w:hint="eastAsia"/>
                <w:szCs w:val="21"/>
              </w:rPr>
              <w:t>整体惰性化高灵敏度离子源；</w:t>
            </w:r>
            <w:r w:rsidRPr="00D54A80">
              <w:rPr>
                <w:rFonts w:ascii="宋体" w:hAnsi="宋体" w:hint="eastAsia"/>
                <w:b/>
                <w:szCs w:val="21"/>
              </w:rPr>
              <w:t>5).</w:t>
            </w:r>
            <w:r w:rsidRPr="00D54A80">
              <w:rPr>
                <w:rFonts w:ascii="宋体" w:hAnsi="宋体" w:hint="eastAsia"/>
                <w:szCs w:val="21"/>
              </w:rPr>
              <w:t>预四极的高精度全金属四极杆</w:t>
            </w:r>
            <w:r w:rsidRPr="00D54A80">
              <w:rPr>
                <w:rFonts w:ascii="宋体" w:hAnsi="宋体"/>
                <w:szCs w:val="21"/>
              </w:rPr>
              <w:t>质量分析器</w:t>
            </w:r>
            <w:r w:rsidRPr="00D54A80">
              <w:rPr>
                <w:rFonts w:ascii="宋体" w:hAnsi="宋体" w:hint="eastAsia"/>
                <w:szCs w:val="21"/>
              </w:rPr>
              <w:t>,</w:t>
            </w:r>
            <w:r w:rsidRPr="00D54A80">
              <w:rPr>
                <w:rFonts w:ascii="宋体" w:hAnsi="宋体" w:hint="eastAsia"/>
                <w:b/>
                <w:szCs w:val="21"/>
              </w:rPr>
              <w:t>6).</w:t>
            </w:r>
            <w:r w:rsidRPr="00D54A80">
              <w:rPr>
                <w:rFonts w:ascii="宋体" w:hAnsi="宋体" w:hint="eastAsia"/>
                <w:szCs w:val="21"/>
              </w:rPr>
              <w:t>二次电子倍增管</w:t>
            </w:r>
            <w:r w:rsidRPr="00D54A80">
              <w:rPr>
                <w:rFonts w:ascii="宋体" w:hAnsi="宋体"/>
                <w:szCs w:val="21"/>
              </w:rPr>
              <w:t>检测系统</w:t>
            </w:r>
            <w:r w:rsidRPr="00D54A80">
              <w:rPr>
                <w:rFonts w:ascii="宋体" w:hAnsi="宋体" w:hint="eastAsia"/>
                <w:szCs w:val="21"/>
              </w:rPr>
              <w:t>；</w:t>
            </w:r>
            <w:r w:rsidRPr="00D54A80">
              <w:rPr>
                <w:rFonts w:ascii="宋体" w:hAnsi="宋体" w:hint="eastAsia"/>
                <w:b/>
                <w:szCs w:val="21"/>
              </w:rPr>
              <w:t>7).</w:t>
            </w:r>
            <w:r w:rsidRPr="00D54A80">
              <w:rPr>
                <w:rFonts w:ascii="宋体" w:hAnsi="宋体" w:hint="eastAsia"/>
                <w:szCs w:val="21"/>
              </w:rPr>
              <w:t>单涡轮分子泵高真空系统</w:t>
            </w:r>
          </w:p>
        </w:tc>
      </w:tr>
      <w:tr w:rsidR="00FE5770" w:rsidRPr="00A57566" w:rsidTr="007C1B8C">
        <w:trPr>
          <w:trHeight w:val="461"/>
        </w:trPr>
        <w:tc>
          <w:tcPr>
            <w:tcW w:w="1368" w:type="dxa"/>
          </w:tcPr>
          <w:p w:rsidR="00FE5770" w:rsidRPr="00A57566" w:rsidRDefault="00FE5770" w:rsidP="007C1B8C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A57566">
              <w:rPr>
                <w:rFonts w:ascii="宋体" w:hAnsi="宋体" w:hint="eastAsia"/>
                <w:szCs w:val="21"/>
              </w:rPr>
              <w:t>软件功能</w:t>
            </w:r>
          </w:p>
        </w:tc>
        <w:tc>
          <w:tcPr>
            <w:tcW w:w="7154" w:type="dxa"/>
          </w:tcPr>
          <w:p w:rsidR="00FE5770" w:rsidRPr="00A57566" w:rsidRDefault="00FE5770" w:rsidP="007C1B8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SCAN/SIM同时分析性能；</w:t>
            </w:r>
          </w:p>
        </w:tc>
      </w:tr>
      <w:tr w:rsidR="00FE5770" w:rsidRPr="00A57566" w:rsidTr="007C1B8C">
        <w:tc>
          <w:tcPr>
            <w:tcW w:w="1368" w:type="dxa"/>
          </w:tcPr>
          <w:p w:rsidR="00FE5770" w:rsidRPr="00A57566" w:rsidRDefault="00FE5770" w:rsidP="007C1B8C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A57566">
              <w:rPr>
                <w:rFonts w:ascii="宋体" w:hAnsi="宋体" w:hint="eastAsia"/>
                <w:szCs w:val="21"/>
              </w:rPr>
              <w:t>应用范围</w:t>
            </w:r>
          </w:p>
        </w:tc>
        <w:tc>
          <w:tcPr>
            <w:tcW w:w="7154" w:type="dxa"/>
          </w:tcPr>
          <w:p w:rsidR="00FE5770" w:rsidRPr="00D54A80" w:rsidRDefault="00FE5770" w:rsidP="007C1B8C">
            <w:pPr>
              <w:spacing w:line="360" w:lineRule="auto"/>
              <w:rPr>
                <w:rFonts w:ascii="宋体" w:hAnsi="宋体"/>
                <w:szCs w:val="21"/>
              </w:rPr>
            </w:pPr>
            <w:r w:rsidRPr="00D54A80">
              <w:rPr>
                <w:rFonts w:ascii="宋体" w:hAnsi="宋体" w:cs="宋体" w:hint="eastAsia"/>
                <w:szCs w:val="21"/>
              </w:rPr>
              <w:t>适用于化学、化工、</w:t>
            </w:r>
            <w:r w:rsidRPr="00D54A80">
              <w:rPr>
                <w:rFonts w:ascii="宋体" w:hAnsi="宋体" w:hint="eastAsia"/>
                <w:szCs w:val="21"/>
              </w:rPr>
              <w:t>食品、医药、环境检测等领域</w:t>
            </w:r>
            <w:r w:rsidRPr="00D54A80">
              <w:rPr>
                <w:rFonts w:ascii="宋体" w:hAnsi="宋体" w:cs="宋体" w:hint="eastAsia"/>
                <w:szCs w:val="21"/>
              </w:rPr>
              <w:t>有机物的</w:t>
            </w:r>
            <w:r w:rsidRPr="00D54A80">
              <w:rPr>
                <w:rFonts w:ascii="宋体" w:hAnsi="宋体" w:cs="宋体"/>
                <w:szCs w:val="21"/>
              </w:rPr>
              <w:t>快速、灵敏、</w:t>
            </w:r>
            <w:r w:rsidRPr="00D54A80">
              <w:rPr>
                <w:rFonts w:ascii="宋体" w:hAnsi="宋体" w:cs="宋体" w:hint="eastAsia"/>
                <w:szCs w:val="21"/>
              </w:rPr>
              <w:t>高</w:t>
            </w:r>
            <w:r w:rsidRPr="00D54A80">
              <w:rPr>
                <w:rFonts w:ascii="宋体" w:hAnsi="宋体" w:cs="宋体"/>
                <w:szCs w:val="21"/>
              </w:rPr>
              <w:t>选择性</w:t>
            </w:r>
            <w:r w:rsidRPr="00D54A80">
              <w:rPr>
                <w:rFonts w:ascii="宋体" w:hAnsi="宋体" w:cs="宋体" w:hint="eastAsia"/>
                <w:szCs w:val="21"/>
              </w:rPr>
              <w:t>定性、定量分析。</w:t>
            </w:r>
            <w:r w:rsidRPr="00D54A80">
              <w:rPr>
                <w:rFonts w:ascii="宋体" w:hAnsi="宋体"/>
                <w:szCs w:val="21"/>
              </w:rPr>
              <w:t xml:space="preserve"> </w:t>
            </w:r>
          </w:p>
        </w:tc>
      </w:tr>
    </w:tbl>
    <w:p w:rsidR="00FE5770" w:rsidRPr="00A57566" w:rsidRDefault="00FE5770" w:rsidP="00FE5770">
      <w:pPr>
        <w:spacing w:line="360" w:lineRule="auto"/>
        <w:rPr>
          <w:rFonts w:ascii="宋体" w:hAnsi="宋体"/>
          <w:szCs w:val="21"/>
        </w:rPr>
      </w:pPr>
    </w:p>
    <w:p w:rsidR="00FE5770" w:rsidRPr="00B9601B" w:rsidRDefault="00FE5770" w:rsidP="00FE5770">
      <w:pPr>
        <w:ind w:firstLineChars="750" w:firstLine="1575"/>
        <w:rPr>
          <w:rFonts w:ascii="宋体" w:hAnsi="宋体" w:hint="eastAsia"/>
          <w:szCs w:val="21"/>
        </w:rPr>
      </w:pPr>
    </w:p>
    <w:p w:rsidR="00461402" w:rsidRDefault="00461402"/>
    <w:sectPr w:rsidR="00461402" w:rsidSect="004614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5770"/>
    <w:rsid w:val="00461402"/>
    <w:rsid w:val="00581D47"/>
    <w:rsid w:val="006A0745"/>
    <w:rsid w:val="00FE5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7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link w:val="2Char"/>
    <w:qFormat/>
    <w:rsid w:val="00FE5770"/>
    <w:pPr>
      <w:widowControl/>
      <w:spacing w:before="300" w:after="300"/>
      <w:jc w:val="center"/>
      <w:outlineLvl w:val="1"/>
    </w:pPr>
    <w:rPr>
      <w:rFonts w:ascii="隶书" w:eastAsia="隶书" w:hAnsi="宋体" w:cs="宋体"/>
      <w:b/>
      <w:bCs/>
      <w:color w:val="005500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FE5770"/>
    <w:rPr>
      <w:rFonts w:ascii="隶书" w:eastAsia="隶书" w:hAnsi="宋体" w:cs="宋体"/>
      <w:b/>
      <w:bCs/>
      <w:color w:val="005500"/>
      <w:kern w:val="0"/>
      <w:sz w:val="36"/>
      <w:szCs w:val="36"/>
    </w:rPr>
  </w:style>
  <w:style w:type="table" w:styleId="a3">
    <w:name w:val="Table Grid"/>
    <w:basedOn w:val="a1"/>
    <w:rsid w:val="00FE577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FE5770"/>
    <w:pPr>
      <w:widowControl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>zju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2014-12-16T05:50:00Z</dcterms:created>
  <dcterms:modified xsi:type="dcterms:W3CDTF">2014-12-16T05:52:00Z</dcterms:modified>
</cp:coreProperties>
</file>